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520C0" w14:textId="77777777" w:rsidR="00F54C76" w:rsidRDefault="00000000">
      <w:pPr>
        <w:pStyle w:val="Title"/>
        <w:jc w:val="center"/>
      </w:pPr>
      <w:r>
        <w:t>Maison Laura Aesthetics</w:t>
      </w:r>
    </w:p>
    <w:p w14:paraId="62662344" w14:textId="77777777" w:rsidR="00F54C76" w:rsidRDefault="00000000">
      <w:pPr>
        <w:pStyle w:val="Heading1"/>
        <w:jc w:val="center"/>
      </w:pPr>
      <w:r>
        <w:t>Consent &amp; Referral Policy</w:t>
      </w:r>
    </w:p>
    <w:p w14:paraId="0363C66B" w14:textId="77777777" w:rsidR="00F54C76" w:rsidRDefault="00000000">
      <w:r>
        <w:t>Version: 1.0</w:t>
      </w:r>
      <w:r>
        <w:br/>
        <w:t>Effective Date: __________</w:t>
      </w:r>
      <w:r>
        <w:br/>
        <w:t>Review Date: __________</w:t>
      </w:r>
      <w:r>
        <w:br/>
        <w:t>Policy Owner: Maison Laura Aesthetics</w:t>
      </w:r>
    </w:p>
    <w:p w14:paraId="25BF9AC4" w14:textId="77777777" w:rsidR="00F54C76" w:rsidRDefault="00000000">
      <w:pPr>
        <w:pStyle w:val="Heading2"/>
      </w:pPr>
      <w:r>
        <w:t>1. Purpose</w:t>
      </w:r>
    </w:p>
    <w:p w14:paraId="42A104E7" w14:textId="77777777" w:rsidR="00F54C76" w:rsidRDefault="00000000">
      <w:r>
        <w:t>This policy outlines the standards for obtaining valid informed consent and the circumstances in which clients should be referred for further assessment or treatment. It supports safe, ethical and person-centred care in accordance with UK legal and professional standards.</w:t>
      </w:r>
    </w:p>
    <w:p w14:paraId="3645F87F" w14:textId="77777777" w:rsidR="00F54C76" w:rsidRDefault="00000000">
      <w:pPr>
        <w:pStyle w:val="Heading2"/>
      </w:pPr>
      <w:r>
        <w:t>2. Scope</w:t>
      </w:r>
    </w:p>
    <w:p w14:paraId="355AED2A" w14:textId="77777777" w:rsidR="00F54C76" w:rsidRDefault="00000000">
      <w:pPr>
        <w:pStyle w:val="ListBullet"/>
      </w:pPr>
      <w:r>
        <w:t>Applies to all consultations and aesthetic treatments provided by Maison Laura Aesthetics.</w:t>
      </w:r>
    </w:p>
    <w:p w14:paraId="7C49339B" w14:textId="77777777" w:rsidR="00F54C76" w:rsidRDefault="00000000">
      <w:pPr>
        <w:pStyle w:val="ListBullet"/>
      </w:pPr>
      <w:r>
        <w:t>Applies to all practitioners working within the clinic.</w:t>
      </w:r>
    </w:p>
    <w:p w14:paraId="1F4DA8DD" w14:textId="77777777" w:rsidR="00F54C76" w:rsidRDefault="00000000">
      <w:pPr>
        <w:pStyle w:val="ListBullet"/>
      </w:pPr>
      <w:r>
        <w:t>Consent must be obtained before every treatment episode.</w:t>
      </w:r>
    </w:p>
    <w:p w14:paraId="0153DAF7" w14:textId="77777777" w:rsidR="00F54C76" w:rsidRDefault="00000000">
      <w:pPr>
        <w:pStyle w:val="Heading2"/>
      </w:pPr>
      <w:r>
        <w:t>3. Principles of Informed Consent</w:t>
      </w:r>
    </w:p>
    <w:p w14:paraId="0903DD72" w14:textId="77777777" w:rsidR="00F54C76" w:rsidRDefault="00000000">
      <w:pPr>
        <w:pStyle w:val="ListBullet"/>
      </w:pPr>
      <w:r>
        <w:t>Consent must be voluntary and free from coercion.</w:t>
      </w:r>
    </w:p>
    <w:p w14:paraId="74531C3A" w14:textId="77777777" w:rsidR="00F54C76" w:rsidRDefault="00000000">
      <w:pPr>
        <w:pStyle w:val="ListBullet"/>
      </w:pPr>
      <w:r>
        <w:t>The client must have capacity to make the decision.</w:t>
      </w:r>
    </w:p>
    <w:p w14:paraId="336EE328" w14:textId="77777777" w:rsidR="00F54C76" w:rsidRDefault="00000000">
      <w:pPr>
        <w:pStyle w:val="ListBullet"/>
      </w:pPr>
      <w:r>
        <w:t>The client must receive sufficient information about benefits, risks, alternatives and expected outcomes.</w:t>
      </w:r>
    </w:p>
    <w:p w14:paraId="400D3DFD" w14:textId="77777777" w:rsidR="00F54C76" w:rsidRDefault="00000000">
      <w:pPr>
        <w:pStyle w:val="ListBullet"/>
      </w:pPr>
      <w:r>
        <w:t>The client must have the opportunity to ask questions.</w:t>
      </w:r>
    </w:p>
    <w:p w14:paraId="570FDF30" w14:textId="77777777" w:rsidR="00F54C76" w:rsidRDefault="00000000">
      <w:pPr>
        <w:pStyle w:val="ListBullet"/>
      </w:pPr>
      <w:r>
        <w:t>Consent may be withdrawn at any time before treatment.</w:t>
      </w:r>
    </w:p>
    <w:p w14:paraId="16F20AD5" w14:textId="77777777" w:rsidR="00F54C76" w:rsidRDefault="00000000">
      <w:pPr>
        <w:pStyle w:val="Heading2"/>
      </w:pPr>
      <w:r>
        <w:t>4. Consent Process</w:t>
      </w:r>
    </w:p>
    <w:p w14:paraId="5E96516A" w14:textId="77777777" w:rsidR="00F54C76" w:rsidRDefault="00000000">
      <w:r>
        <w:t>1. Complete a comprehensive consultation and medical history.</w:t>
      </w:r>
    </w:p>
    <w:p w14:paraId="47BE26A6" w14:textId="77777777" w:rsidR="00F54C76" w:rsidRDefault="00000000">
      <w:r>
        <w:t>2. Assess suitability for treatment and identify contraindications.</w:t>
      </w:r>
    </w:p>
    <w:p w14:paraId="64DD91A8" w14:textId="77777777" w:rsidR="00F54C76" w:rsidRDefault="00000000">
      <w:r>
        <w:t>3. Discuss the proposed treatment, expected results, limitations and aftercare.</w:t>
      </w:r>
    </w:p>
    <w:p w14:paraId="2329D4B1" w14:textId="77777777" w:rsidR="00F54C76" w:rsidRDefault="00000000">
      <w:r>
        <w:t>4. Explain material risks and potential complications, including rare but serious risks where relevant.</w:t>
      </w:r>
    </w:p>
    <w:p w14:paraId="16D14B0B" w14:textId="77777777" w:rsidR="00F54C76" w:rsidRDefault="00000000">
      <w:r>
        <w:t>5. Provide written information where appropriate.</w:t>
      </w:r>
    </w:p>
    <w:p w14:paraId="76389612" w14:textId="77777777" w:rsidR="00F54C76" w:rsidRDefault="00000000">
      <w:r>
        <w:t>6. Confirm understanding and obtain written consent before treatment.</w:t>
      </w:r>
    </w:p>
    <w:p w14:paraId="73E22FC4" w14:textId="77777777" w:rsidR="00F54C76" w:rsidRDefault="00000000">
      <w:r>
        <w:t>7. Record the discussion and consent within the clinical record.</w:t>
      </w:r>
    </w:p>
    <w:p w14:paraId="474F5C87" w14:textId="77777777" w:rsidR="00F54C76" w:rsidRDefault="00000000">
      <w:pPr>
        <w:pStyle w:val="Heading2"/>
      </w:pPr>
      <w:r>
        <w:lastRenderedPageBreak/>
        <w:t>5. Situations Where Treatment Must Be Deferred</w:t>
      </w:r>
    </w:p>
    <w:p w14:paraId="4A9D774A" w14:textId="77777777" w:rsidR="00F54C76" w:rsidRDefault="00000000">
      <w:pPr>
        <w:pStyle w:val="ListBullet"/>
      </w:pPr>
      <w:r>
        <w:t>Lack of valid consent or capacity.</w:t>
      </w:r>
    </w:p>
    <w:p w14:paraId="15F64054" w14:textId="77777777" w:rsidR="00F54C76" w:rsidRDefault="00000000">
      <w:pPr>
        <w:pStyle w:val="ListBullet"/>
      </w:pPr>
      <w:r>
        <w:t>Unresolved contraindications or acute illness.</w:t>
      </w:r>
    </w:p>
    <w:p w14:paraId="230EA651" w14:textId="77777777" w:rsidR="00F54C76" w:rsidRDefault="00000000">
      <w:pPr>
        <w:pStyle w:val="ListBullet"/>
      </w:pPr>
      <w:r>
        <w:t>Signs of infection at the treatment site.</w:t>
      </w:r>
    </w:p>
    <w:p w14:paraId="040F3610" w14:textId="77777777" w:rsidR="00F54C76" w:rsidRDefault="00000000">
      <w:pPr>
        <w:pStyle w:val="ListBullet"/>
      </w:pPr>
      <w:r>
        <w:t>Unrealistic expectations or concerns regarding body image requiring further assessment.</w:t>
      </w:r>
    </w:p>
    <w:p w14:paraId="5699C5F9" w14:textId="77777777" w:rsidR="00F54C76" w:rsidRDefault="00000000">
      <w:pPr>
        <w:pStyle w:val="ListBullet"/>
      </w:pPr>
      <w:r>
        <w:t>Insufficient cooling-off time where clinically appropriate.</w:t>
      </w:r>
    </w:p>
    <w:p w14:paraId="644CCA34" w14:textId="77777777" w:rsidR="00F54C76" w:rsidRDefault="00000000">
      <w:pPr>
        <w:pStyle w:val="Heading2"/>
      </w:pPr>
      <w:r>
        <w:t>6. Referral Policy</w:t>
      </w:r>
    </w:p>
    <w:p w14:paraId="70F62A8B" w14:textId="77777777" w:rsidR="00F54C76" w:rsidRDefault="00000000">
      <w:r>
        <w:t>Clients should be referred when treatment is outside the practitioner's competence or when further assessment is required.</w:t>
      </w:r>
    </w:p>
    <w:p w14:paraId="2ECB07CA" w14:textId="77777777" w:rsidR="00F54C76" w:rsidRDefault="00000000">
      <w:pPr>
        <w:pStyle w:val="ListBullet"/>
      </w:pPr>
      <w:r>
        <w:t>General Practitioner (GP) for significant medical concerns.</w:t>
      </w:r>
    </w:p>
    <w:p w14:paraId="3DF69C6F" w14:textId="77777777" w:rsidR="00F54C76" w:rsidRDefault="00000000">
      <w:pPr>
        <w:pStyle w:val="ListBullet"/>
      </w:pPr>
      <w:r>
        <w:t>Emergency Department (A&amp;E) or 999 for medical emergencies.</w:t>
      </w:r>
    </w:p>
    <w:p w14:paraId="38DC362D" w14:textId="77777777" w:rsidR="00F54C76" w:rsidRDefault="00000000">
      <w:pPr>
        <w:pStyle w:val="ListBullet"/>
      </w:pPr>
      <w:r>
        <w:t>Ophthalmology services for visual symptoms following filler treatment.</w:t>
      </w:r>
    </w:p>
    <w:p w14:paraId="73172CBE" w14:textId="77777777" w:rsidR="00F54C76" w:rsidRDefault="00000000">
      <w:pPr>
        <w:pStyle w:val="ListBullet"/>
      </w:pPr>
      <w:r>
        <w:t>Emergency or specialist services for suspected vascular occlusion or severe allergic reactions in accordance with emergency pathways.</w:t>
      </w:r>
    </w:p>
    <w:p w14:paraId="5B1C7167" w14:textId="77777777" w:rsidR="00F54C76" w:rsidRDefault="00000000">
      <w:pPr>
        <w:pStyle w:val="ListBullet"/>
      </w:pPr>
      <w:r>
        <w:t>Other appropriately qualified healthcare professionals where specialist assessment is required.</w:t>
      </w:r>
    </w:p>
    <w:p w14:paraId="6D376A56" w14:textId="77777777" w:rsidR="00F54C76" w:rsidRDefault="00000000">
      <w:pPr>
        <w:pStyle w:val="Heading2"/>
      </w:pPr>
      <w:r>
        <w:t>7. Documentation</w:t>
      </w:r>
    </w:p>
    <w:p w14:paraId="01F750FE" w14:textId="77777777" w:rsidR="00F54C76" w:rsidRDefault="00000000">
      <w:pPr>
        <w:pStyle w:val="ListBullet"/>
      </w:pPr>
      <w:r>
        <w:t>Consultation findings.</w:t>
      </w:r>
    </w:p>
    <w:p w14:paraId="07EADB8C" w14:textId="77777777" w:rsidR="00F54C76" w:rsidRDefault="00000000">
      <w:pPr>
        <w:pStyle w:val="ListBullet"/>
      </w:pPr>
      <w:r>
        <w:t>Capacity assessment where relevant.</w:t>
      </w:r>
    </w:p>
    <w:p w14:paraId="57F530F9" w14:textId="77777777" w:rsidR="00F54C76" w:rsidRDefault="00000000">
      <w:pPr>
        <w:pStyle w:val="ListBullet"/>
      </w:pPr>
      <w:r>
        <w:t>Consent form completion.</w:t>
      </w:r>
    </w:p>
    <w:p w14:paraId="7464AA3E" w14:textId="77777777" w:rsidR="00F54C76" w:rsidRDefault="00000000">
      <w:pPr>
        <w:pStyle w:val="ListBullet"/>
      </w:pPr>
      <w:r>
        <w:t>Clinical photographs where consent has been given.</w:t>
      </w:r>
    </w:p>
    <w:p w14:paraId="54E40FB9" w14:textId="77777777" w:rsidR="00F54C76" w:rsidRDefault="00000000">
      <w:pPr>
        <w:pStyle w:val="ListBullet"/>
      </w:pPr>
      <w:r>
        <w:t>Referral details, advice provided and follow-up arrangements.</w:t>
      </w:r>
    </w:p>
    <w:p w14:paraId="4C3C0825" w14:textId="77777777" w:rsidR="00F54C76" w:rsidRDefault="00000000">
      <w:pPr>
        <w:pStyle w:val="Heading2"/>
      </w:pPr>
      <w:r>
        <w:t>8. Confidentiality</w:t>
      </w:r>
    </w:p>
    <w:p w14:paraId="36114869" w14:textId="77777777" w:rsidR="00F54C76" w:rsidRDefault="00000000">
      <w:r>
        <w:t>All records relating to consent and referrals will be stored securely and managed in accordance with the clinic's GDPR and Data Protection Policy.</w:t>
      </w:r>
    </w:p>
    <w:p w14:paraId="5013BD3C" w14:textId="77777777" w:rsidR="00F54C76" w:rsidRDefault="00000000">
      <w:pPr>
        <w:pStyle w:val="Heading2"/>
      </w:pPr>
      <w:r>
        <w:t>9. Training &amp; Governance</w:t>
      </w:r>
    </w:p>
    <w:p w14:paraId="204F7F84" w14:textId="77777777" w:rsidR="00F54C76" w:rsidRDefault="00000000">
      <w:pPr>
        <w:pStyle w:val="ListBullet"/>
      </w:pPr>
      <w:r>
        <w:t>Practitioners must maintain competence in obtaining informed consent.</w:t>
      </w:r>
    </w:p>
    <w:p w14:paraId="24DBA0D4" w14:textId="77777777" w:rsidR="00F54C76" w:rsidRDefault="00000000">
      <w:pPr>
        <w:pStyle w:val="ListBullet"/>
      </w:pPr>
      <w:r>
        <w:t>Referral pathways should be reviewed regularly.</w:t>
      </w:r>
    </w:p>
    <w:p w14:paraId="18B5AF7F" w14:textId="77777777" w:rsidR="00F54C76" w:rsidRDefault="00000000">
      <w:pPr>
        <w:pStyle w:val="ListBullet"/>
      </w:pPr>
      <w:r>
        <w:t>Incidents involving consent or referral delays should be reviewed through clinical governance.</w:t>
      </w:r>
    </w:p>
    <w:p w14:paraId="0D1A63BF" w14:textId="77777777" w:rsidR="00F54C76" w:rsidRDefault="00000000">
      <w:pPr>
        <w:pStyle w:val="Heading2"/>
      </w:pPr>
      <w:r>
        <w:t>Policy Approval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F54C76" w14:paraId="6E92C5D8" w14:textId="77777777">
        <w:tc>
          <w:tcPr>
            <w:tcW w:w="4320" w:type="dxa"/>
          </w:tcPr>
          <w:p w14:paraId="48714A3D" w14:textId="77777777" w:rsidR="00F54C76" w:rsidRDefault="00000000">
            <w:r>
              <w:t>Approved by</w:t>
            </w:r>
          </w:p>
        </w:tc>
        <w:tc>
          <w:tcPr>
            <w:tcW w:w="4320" w:type="dxa"/>
          </w:tcPr>
          <w:p w14:paraId="3D39D450" w14:textId="77777777" w:rsidR="00F54C76" w:rsidRDefault="00F54C76"/>
        </w:tc>
      </w:tr>
      <w:tr w:rsidR="00F54C76" w14:paraId="5BB3D101" w14:textId="77777777">
        <w:tc>
          <w:tcPr>
            <w:tcW w:w="4320" w:type="dxa"/>
          </w:tcPr>
          <w:p w14:paraId="0FBCE5EF" w14:textId="77777777" w:rsidR="00F54C76" w:rsidRDefault="00000000">
            <w:r>
              <w:t>Position</w:t>
            </w:r>
          </w:p>
        </w:tc>
        <w:tc>
          <w:tcPr>
            <w:tcW w:w="4320" w:type="dxa"/>
          </w:tcPr>
          <w:p w14:paraId="5CCDBC0B" w14:textId="77777777" w:rsidR="00F54C76" w:rsidRDefault="00F54C76"/>
        </w:tc>
      </w:tr>
      <w:tr w:rsidR="00F54C76" w14:paraId="04E304C6" w14:textId="77777777">
        <w:tc>
          <w:tcPr>
            <w:tcW w:w="4320" w:type="dxa"/>
          </w:tcPr>
          <w:p w14:paraId="1C65F97E" w14:textId="77777777" w:rsidR="00F54C76" w:rsidRDefault="00000000">
            <w:r>
              <w:t>Signature</w:t>
            </w:r>
          </w:p>
        </w:tc>
        <w:tc>
          <w:tcPr>
            <w:tcW w:w="4320" w:type="dxa"/>
          </w:tcPr>
          <w:p w14:paraId="0F21205B" w14:textId="77777777" w:rsidR="00F54C76" w:rsidRDefault="00F54C76"/>
        </w:tc>
      </w:tr>
      <w:tr w:rsidR="00F54C76" w14:paraId="50C59ACD" w14:textId="77777777">
        <w:tc>
          <w:tcPr>
            <w:tcW w:w="4320" w:type="dxa"/>
          </w:tcPr>
          <w:p w14:paraId="143ADEDF" w14:textId="77777777" w:rsidR="00F54C76" w:rsidRDefault="00000000">
            <w:r>
              <w:t>Date</w:t>
            </w:r>
          </w:p>
        </w:tc>
        <w:tc>
          <w:tcPr>
            <w:tcW w:w="4320" w:type="dxa"/>
          </w:tcPr>
          <w:p w14:paraId="3184DAAB" w14:textId="77777777" w:rsidR="00F54C76" w:rsidRDefault="00F54C76"/>
        </w:tc>
      </w:tr>
      <w:tr w:rsidR="00F54C76" w14:paraId="28E008F9" w14:textId="77777777">
        <w:tc>
          <w:tcPr>
            <w:tcW w:w="4320" w:type="dxa"/>
          </w:tcPr>
          <w:p w14:paraId="47D08BA8" w14:textId="77777777" w:rsidR="00F54C76" w:rsidRDefault="00000000">
            <w:r>
              <w:t>Next Review</w:t>
            </w:r>
          </w:p>
        </w:tc>
        <w:tc>
          <w:tcPr>
            <w:tcW w:w="4320" w:type="dxa"/>
          </w:tcPr>
          <w:p w14:paraId="268A7610" w14:textId="77777777" w:rsidR="00F54C76" w:rsidRDefault="00F54C76"/>
        </w:tc>
      </w:tr>
    </w:tbl>
    <w:p w14:paraId="35C50509" w14:textId="77777777" w:rsidR="00144B0F" w:rsidRDefault="00144B0F"/>
    <w:sectPr w:rsidR="00144B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634235">
    <w:abstractNumId w:val="8"/>
  </w:num>
  <w:num w:numId="2" w16cid:durableId="360783284">
    <w:abstractNumId w:val="6"/>
  </w:num>
  <w:num w:numId="3" w16cid:durableId="666859841">
    <w:abstractNumId w:val="5"/>
  </w:num>
  <w:num w:numId="4" w16cid:durableId="1865363645">
    <w:abstractNumId w:val="4"/>
  </w:num>
  <w:num w:numId="5" w16cid:durableId="1626812754">
    <w:abstractNumId w:val="7"/>
  </w:num>
  <w:num w:numId="6" w16cid:durableId="1505971457">
    <w:abstractNumId w:val="3"/>
  </w:num>
  <w:num w:numId="7" w16cid:durableId="619534432">
    <w:abstractNumId w:val="2"/>
  </w:num>
  <w:num w:numId="8" w16cid:durableId="1863397582">
    <w:abstractNumId w:val="1"/>
  </w:num>
  <w:num w:numId="9" w16cid:durableId="210603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4B0F"/>
    <w:rsid w:val="0015074B"/>
    <w:rsid w:val="002537C3"/>
    <w:rsid w:val="002902F1"/>
    <w:rsid w:val="0029639D"/>
    <w:rsid w:val="00326F90"/>
    <w:rsid w:val="00AA1D8D"/>
    <w:rsid w:val="00B47730"/>
    <w:rsid w:val="00CB0664"/>
    <w:rsid w:val="00F54C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DFEA82"/>
  <w14:defaultImageDpi w14:val="300"/>
  <w15:docId w15:val="{E970CDD3-EE1F-41E1-A227-C5A19514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8C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skinner</cp:lastModifiedBy>
  <cp:revision>2</cp:revision>
  <dcterms:created xsi:type="dcterms:W3CDTF">2026-07-22T14:14:00Z</dcterms:created>
  <dcterms:modified xsi:type="dcterms:W3CDTF">2026-07-22T14:14:00Z</dcterms:modified>
  <cp:category/>
</cp:coreProperties>
</file>